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435"/>
        <w:gridCol w:w="3240"/>
        <w:gridCol w:w="4675"/>
      </w:tblGrid>
      <w:tr w:rsidR="002064EE" w14:paraId="7D8CBAC2" w14:textId="77777777" w:rsidTr="4A29882D">
        <w:trPr>
          <w:trHeight w:val="764"/>
        </w:trPr>
        <w:tc>
          <w:tcPr>
            <w:tcW w:w="1435" w:type="dxa"/>
          </w:tcPr>
          <w:p w14:paraId="06048BDA" w14:textId="335A996F" w:rsidR="002064EE" w:rsidRDefault="39F9E457">
            <w:r>
              <w:rPr>
                <w:noProof/>
              </w:rPr>
              <w:drawing>
                <wp:inline distT="0" distB="0" distL="0" distR="0" wp14:anchorId="52118509" wp14:editId="69CADB8F">
                  <wp:extent cx="666750" cy="666750"/>
                  <wp:effectExtent l="0" t="0" r="0" b="0"/>
                  <wp:docPr id="120400141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001419" name=""/>
                          <pic:cNvPicPr/>
                        </pic:nvPicPr>
                        <pic:blipFill>
                          <a:blip r:embed="rId8">
                            <a:extLst>
                              <a:ext uri="{28A0092B-C50C-407E-A947-70E740481C1C}">
                                <a14:useLocalDpi xmlns:a14="http://schemas.microsoft.com/office/drawing/2010/main"/>
                              </a:ext>
                            </a:extLst>
                          </a:blip>
                          <a:stretch>
                            <a:fillRect/>
                          </a:stretch>
                        </pic:blipFill>
                        <pic:spPr>
                          <a:xfrm>
                            <a:off x="0" y="0"/>
                            <a:ext cx="666750" cy="666750"/>
                          </a:xfrm>
                          <a:prstGeom prst="rect">
                            <a:avLst/>
                          </a:prstGeom>
                        </pic:spPr>
                      </pic:pic>
                    </a:graphicData>
                  </a:graphic>
                </wp:inline>
              </w:drawing>
            </w:r>
          </w:p>
        </w:tc>
        <w:tc>
          <w:tcPr>
            <w:tcW w:w="7915" w:type="dxa"/>
            <w:gridSpan w:val="2"/>
          </w:tcPr>
          <w:p w14:paraId="0048733A" w14:textId="77777777" w:rsidR="002064EE" w:rsidRPr="002064EE" w:rsidRDefault="002064EE" w:rsidP="002064EE">
            <w:pPr>
              <w:jc w:val="center"/>
              <w:rPr>
                <w:sz w:val="22"/>
                <w:szCs w:val="22"/>
              </w:rPr>
            </w:pPr>
            <w:r w:rsidRPr="002064EE">
              <w:rPr>
                <w:sz w:val="22"/>
                <w:szCs w:val="22"/>
              </w:rPr>
              <w:t>Nederland Fire Protection District</w:t>
            </w:r>
          </w:p>
          <w:p w14:paraId="7775CED5" w14:textId="3DA1300B" w:rsidR="002064EE" w:rsidRDefault="002064EE" w:rsidP="002064EE">
            <w:pPr>
              <w:jc w:val="center"/>
            </w:pPr>
            <w:r w:rsidRPr="002064EE">
              <w:rPr>
                <w:sz w:val="22"/>
                <w:szCs w:val="22"/>
              </w:rPr>
              <w:t>Standard Operating Procedures and Guidelines</w:t>
            </w:r>
          </w:p>
        </w:tc>
      </w:tr>
      <w:tr w:rsidR="002064EE" w14:paraId="2BDB941D" w14:textId="77777777" w:rsidTr="4A29882D">
        <w:tc>
          <w:tcPr>
            <w:tcW w:w="4675" w:type="dxa"/>
            <w:gridSpan w:val="2"/>
          </w:tcPr>
          <w:p w14:paraId="705C59C9" w14:textId="666623AD" w:rsidR="002064EE" w:rsidRPr="002064EE" w:rsidRDefault="002064EE">
            <w:pPr>
              <w:rPr>
                <w:sz w:val="20"/>
                <w:szCs w:val="20"/>
              </w:rPr>
            </w:pPr>
            <w:r w:rsidRPr="002064EE">
              <w:rPr>
                <w:b/>
                <w:bCs/>
                <w:sz w:val="20"/>
                <w:szCs w:val="20"/>
              </w:rPr>
              <w:t xml:space="preserve">Title: </w:t>
            </w:r>
            <w:r w:rsidR="00A331E8">
              <w:t>Account</w:t>
            </w:r>
            <w:r w:rsidR="00A331E8">
              <w:t>s</w:t>
            </w:r>
            <w:r w:rsidR="00A331E8">
              <w:t xml:space="preserve"> Receivable Collections</w:t>
            </w:r>
          </w:p>
        </w:tc>
        <w:tc>
          <w:tcPr>
            <w:tcW w:w="4675" w:type="dxa"/>
          </w:tcPr>
          <w:p w14:paraId="21ED68D6" w14:textId="7D5F872D" w:rsidR="002064EE" w:rsidRPr="00A331E8" w:rsidRDefault="002064EE">
            <w:pPr>
              <w:rPr>
                <w:sz w:val="20"/>
                <w:szCs w:val="20"/>
              </w:rPr>
            </w:pPr>
            <w:r w:rsidRPr="002064EE">
              <w:rPr>
                <w:b/>
                <w:bCs/>
                <w:sz w:val="20"/>
                <w:szCs w:val="20"/>
              </w:rPr>
              <w:t>Section/Topic:</w:t>
            </w:r>
            <w:r w:rsidR="00A331E8">
              <w:rPr>
                <w:b/>
                <w:bCs/>
                <w:sz w:val="20"/>
                <w:szCs w:val="20"/>
              </w:rPr>
              <w:t xml:space="preserve"> </w:t>
            </w:r>
            <w:r w:rsidR="00A331E8">
              <w:rPr>
                <w:sz w:val="20"/>
                <w:szCs w:val="20"/>
              </w:rPr>
              <w:t>Accounting</w:t>
            </w:r>
          </w:p>
        </w:tc>
      </w:tr>
      <w:tr w:rsidR="002064EE" w14:paraId="6C22DD50" w14:textId="77777777" w:rsidTr="4A29882D">
        <w:tc>
          <w:tcPr>
            <w:tcW w:w="4675" w:type="dxa"/>
            <w:gridSpan w:val="2"/>
          </w:tcPr>
          <w:p w14:paraId="6C5F9059" w14:textId="2EBCE534" w:rsidR="002064EE" w:rsidRPr="002064EE" w:rsidRDefault="002064EE">
            <w:pPr>
              <w:rPr>
                <w:b/>
                <w:bCs/>
                <w:sz w:val="20"/>
                <w:szCs w:val="20"/>
              </w:rPr>
            </w:pPr>
            <w:r w:rsidRPr="002064EE">
              <w:rPr>
                <w:b/>
                <w:bCs/>
                <w:sz w:val="20"/>
                <w:szCs w:val="20"/>
              </w:rPr>
              <w:t>Number:</w:t>
            </w:r>
            <w:r w:rsidR="00A331E8">
              <w:rPr>
                <w:b/>
                <w:bCs/>
                <w:sz w:val="20"/>
                <w:szCs w:val="20"/>
              </w:rPr>
              <w:t xml:space="preserve"> </w:t>
            </w:r>
            <w:r w:rsidR="00A331E8" w:rsidRPr="00A331E8">
              <w:rPr>
                <w:sz w:val="20"/>
                <w:szCs w:val="20"/>
              </w:rPr>
              <w:t>7.06</w:t>
            </w:r>
          </w:p>
        </w:tc>
        <w:tc>
          <w:tcPr>
            <w:tcW w:w="4675" w:type="dxa"/>
          </w:tcPr>
          <w:p w14:paraId="2931875E" w14:textId="038947D0" w:rsidR="002064EE" w:rsidRPr="002064EE" w:rsidRDefault="002064EE">
            <w:pPr>
              <w:rPr>
                <w:b/>
                <w:bCs/>
                <w:sz w:val="20"/>
                <w:szCs w:val="20"/>
              </w:rPr>
            </w:pPr>
            <w:r>
              <w:rPr>
                <w:b/>
                <w:bCs/>
                <w:sz w:val="20"/>
                <w:szCs w:val="20"/>
              </w:rPr>
              <w:t>Issue Date:</w:t>
            </w:r>
            <w:r w:rsidR="00A331E8">
              <w:rPr>
                <w:b/>
                <w:bCs/>
                <w:sz w:val="20"/>
                <w:szCs w:val="20"/>
              </w:rPr>
              <w:t xml:space="preserve"> </w:t>
            </w:r>
            <w:r w:rsidR="00A331E8" w:rsidRPr="00A331E8">
              <w:rPr>
                <w:sz w:val="20"/>
                <w:szCs w:val="20"/>
              </w:rPr>
              <w:t>09/17/2025</w:t>
            </w:r>
          </w:p>
        </w:tc>
      </w:tr>
      <w:tr w:rsidR="002064EE" w14:paraId="677279FC" w14:textId="77777777" w:rsidTr="4A29882D">
        <w:tc>
          <w:tcPr>
            <w:tcW w:w="4675" w:type="dxa"/>
            <w:gridSpan w:val="2"/>
          </w:tcPr>
          <w:p w14:paraId="109140CC" w14:textId="24E06722" w:rsidR="002064EE" w:rsidRPr="002064EE" w:rsidRDefault="002064EE">
            <w:pPr>
              <w:rPr>
                <w:b/>
                <w:bCs/>
                <w:sz w:val="20"/>
                <w:szCs w:val="20"/>
              </w:rPr>
            </w:pPr>
            <w:r w:rsidRPr="002064EE">
              <w:rPr>
                <w:b/>
                <w:bCs/>
                <w:sz w:val="20"/>
                <w:szCs w:val="20"/>
              </w:rPr>
              <w:t>Revision Date:</w:t>
            </w:r>
          </w:p>
        </w:tc>
        <w:tc>
          <w:tcPr>
            <w:tcW w:w="4675" w:type="dxa"/>
          </w:tcPr>
          <w:p w14:paraId="2F6F99F8" w14:textId="5DD52A67" w:rsidR="002064EE" w:rsidRPr="002064EE" w:rsidRDefault="002064EE">
            <w:pPr>
              <w:rPr>
                <w:b/>
                <w:bCs/>
                <w:sz w:val="20"/>
                <w:szCs w:val="20"/>
              </w:rPr>
            </w:pPr>
            <w:r w:rsidRPr="002064EE">
              <w:rPr>
                <w:b/>
                <w:bCs/>
                <w:sz w:val="20"/>
                <w:szCs w:val="20"/>
              </w:rPr>
              <w:t>Revision Number:</w:t>
            </w:r>
          </w:p>
        </w:tc>
      </w:tr>
      <w:tr w:rsidR="002064EE" w14:paraId="51C48C86" w14:textId="77777777" w:rsidTr="4A29882D">
        <w:trPr>
          <w:trHeight w:val="1592"/>
        </w:trPr>
        <w:tc>
          <w:tcPr>
            <w:tcW w:w="4675" w:type="dxa"/>
            <w:gridSpan w:val="2"/>
          </w:tcPr>
          <w:p w14:paraId="2DBEAFE9" w14:textId="2FDFF38F" w:rsidR="002064EE" w:rsidRPr="00A331E8" w:rsidRDefault="002064EE">
            <w:pPr>
              <w:rPr>
                <w:sz w:val="20"/>
                <w:szCs w:val="20"/>
              </w:rPr>
            </w:pPr>
            <w:r w:rsidRPr="002064EE">
              <w:rPr>
                <w:b/>
                <w:bCs/>
                <w:sz w:val="20"/>
                <w:szCs w:val="20"/>
              </w:rPr>
              <w:t>Prepared By:</w:t>
            </w:r>
            <w:r w:rsidR="00A331E8">
              <w:rPr>
                <w:b/>
                <w:bCs/>
                <w:sz w:val="20"/>
                <w:szCs w:val="20"/>
              </w:rPr>
              <w:t xml:space="preserve"> </w:t>
            </w:r>
            <w:r w:rsidR="00A331E8">
              <w:rPr>
                <w:sz w:val="20"/>
                <w:szCs w:val="20"/>
              </w:rPr>
              <w:t>Sherry Snyder</w:t>
            </w:r>
          </w:p>
        </w:tc>
        <w:tc>
          <w:tcPr>
            <w:tcW w:w="4675" w:type="dxa"/>
          </w:tcPr>
          <w:p w14:paraId="076F3EB0" w14:textId="6F68DEB9" w:rsidR="002064EE" w:rsidRPr="002064EE" w:rsidRDefault="002064EE">
            <w:pPr>
              <w:rPr>
                <w:b/>
                <w:bCs/>
                <w:sz w:val="20"/>
                <w:szCs w:val="20"/>
              </w:rPr>
            </w:pPr>
            <w:r w:rsidRPr="002064EE">
              <w:rPr>
                <w:b/>
                <w:bCs/>
                <w:sz w:val="20"/>
                <w:szCs w:val="20"/>
              </w:rPr>
              <w:t>Approved By:</w:t>
            </w:r>
          </w:p>
        </w:tc>
      </w:tr>
    </w:tbl>
    <w:p w14:paraId="5A7951E4" w14:textId="1C88B059" w:rsidR="00EB3036" w:rsidRDefault="00EB3036"/>
    <w:tbl>
      <w:tblPr>
        <w:tblStyle w:val="TableGrid"/>
        <w:tblW w:w="0" w:type="auto"/>
        <w:shd w:val="clear" w:color="auto" w:fill="D9D9D9" w:themeFill="background1" w:themeFillShade="D9"/>
        <w:tblLook w:val="04A0" w:firstRow="1" w:lastRow="0" w:firstColumn="1" w:lastColumn="0" w:noHBand="0" w:noVBand="1"/>
      </w:tblPr>
      <w:tblGrid>
        <w:gridCol w:w="9350"/>
      </w:tblGrid>
      <w:tr w:rsidR="00934704" w14:paraId="2CC439F9" w14:textId="77777777" w:rsidTr="00934704">
        <w:tc>
          <w:tcPr>
            <w:tcW w:w="9350" w:type="dxa"/>
            <w:shd w:val="clear" w:color="auto" w:fill="D9D9D9" w:themeFill="background1" w:themeFillShade="D9"/>
          </w:tcPr>
          <w:p w14:paraId="65774CA5" w14:textId="6C438327" w:rsidR="00934704" w:rsidRPr="00934704" w:rsidRDefault="00934704">
            <w:pPr>
              <w:rPr>
                <w:b/>
                <w:bCs/>
                <w:sz w:val="20"/>
                <w:szCs w:val="20"/>
              </w:rPr>
            </w:pPr>
            <w:r w:rsidRPr="00934704">
              <w:rPr>
                <w:b/>
                <w:bCs/>
                <w:sz w:val="20"/>
                <w:szCs w:val="20"/>
              </w:rPr>
              <w:t>1.0 Policy Reference</w:t>
            </w:r>
          </w:p>
        </w:tc>
      </w:tr>
    </w:tbl>
    <w:p w14:paraId="42E20D84" w14:textId="178624D2" w:rsidR="00934704" w:rsidRDefault="00934704"/>
    <w:p w14:paraId="7DD94887" w14:textId="7380B28F" w:rsidR="00A331E8" w:rsidRDefault="00A331E8">
      <w:r>
        <w:t xml:space="preserve">All open Accounts Receivable with late or delinquent payment activity will be handled in a timely and effective manner to ensure maximum collections and an optimum Accounts Receivable turnover ratio. </w:t>
      </w:r>
    </w:p>
    <w:p w14:paraId="103F3DD2" w14:textId="7FB1D13B" w:rsidR="00934704" w:rsidRDefault="00934704"/>
    <w:tbl>
      <w:tblPr>
        <w:tblStyle w:val="TableGrid"/>
        <w:tblW w:w="0" w:type="auto"/>
        <w:shd w:val="clear" w:color="auto" w:fill="D9D9D9" w:themeFill="background1" w:themeFillShade="D9"/>
        <w:tblLook w:val="04A0" w:firstRow="1" w:lastRow="0" w:firstColumn="1" w:lastColumn="0" w:noHBand="0" w:noVBand="1"/>
      </w:tblPr>
      <w:tblGrid>
        <w:gridCol w:w="9350"/>
      </w:tblGrid>
      <w:tr w:rsidR="00934704" w14:paraId="57A11725" w14:textId="77777777" w:rsidTr="00934704">
        <w:tc>
          <w:tcPr>
            <w:tcW w:w="9350" w:type="dxa"/>
            <w:shd w:val="clear" w:color="auto" w:fill="D9D9D9" w:themeFill="background1" w:themeFillShade="D9"/>
          </w:tcPr>
          <w:p w14:paraId="33517924" w14:textId="7C6F1B7B" w:rsidR="00934704" w:rsidRPr="00934704" w:rsidRDefault="00934704">
            <w:pPr>
              <w:rPr>
                <w:b/>
                <w:bCs/>
                <w:sz w:val="20"/>
                <w:szCs w:val="20"/>
              </w:rPr>
            </w:pPr>
            <w:r w:rsidRPr="00934704">
              <w:rPr>
                <w:b/>
                <w:bCs/>
                <w:sz w:val="20"/>
                <w:szCs w:val="20"/>
              </w:rPr>
              <w:t>2.0 Purpose</w:t>
            </w:r>
          </w:p>
        </w:tc>
      </w:tr>
    </w:tbl>
    <w:p w14:paraId="63B4D15F" w14:textId="4D7E3EC9" w:rsidR="00934704" w:rsidRDefault="00934704"/>
    <w:p w14:paraId="66E8526F" w14:textId="49E7E8E7" w:rsidR="00A331E8" w:rsidRDefault="00A331E8">
      <w:r>
        <w:t>To provide the actions and methods for processing late or delinquent payments. Studies have shown that the sooner the collections process start</w:t>
      </w:r>
      <w:r w:rsidR="00BF3621">
        <w:t>s</w:t>
      </w:r>
      <w:r>
        <w:t xml:space="preserve"> then the more likely that the debt will be collected. </w:t>
      </w:r>
    </w:p>
    <w:p w14:paraId="39446000" w14:textId="77777777" w:rsidR="00A331E8" w:rsidRDefault="00A331E8"/>
    <w:tbl>
      <w:tblPr>
        <w:tblStyle w:val="TableGrid"/>
        <w:tblW w:w="0" w:type="auto"/>
        <w:shd w:val="clear" w:color="auto" w:fill="D9D9D9" w:themeFill="background1" w:themeFillShade="D9"/>
        <w:tblLook w:val="04A0" w:firstRow="1" w:lastRow="0" w:firstColumn="1" w:lastColumn="0" w:noHBand="0" w:noVBand="1"/>
      </w:tblPr>
      <w:tblGrid>
        <w:gridCol w:w="9350"/>
      </w:tblGrid>
      <w:tr w:rsidR="00934704" w14:paraId="78075264" w14:textId="77777777" w:rsidTr="00934704">
        <w:tc>
          <w:tcPr>
            <w:tcW w:w="9350" w:type="dxa"/>
            <w:shd w:val="clear" w:color="auto" w:fill="D9D9D9" w:themeFill="background1" w:themeFillShade="D9"/>
          </w:tcPr>
          <w:p w14:paraId="35F0F582" w14:textId="017296E1" w:rsidR="00934704" w:rsidRPr="00934704" w:rsidRDefault="00934704">
            <w:pPr>
              <w:rPr>
                <w:b/>
                <w:bCs/>
                <w:sz w:val="20"/>
                <w:szCs w:val="20"/>
              </w:rPr>
            </w:pPr>
            <w:r>
              <w:rPr>
                <w:b/>
                <w:bCs/>
                <w:sz w:val="20"/>
                <w:szCs w:val="20"/>
              </w:rPr>
              <w:t>3.0 Scope</w:t>
            </w:r>
          </w:p>
        </w:tc>
      </w:tr>
    </w:tbl>
    <w:p w14:paraId="7F3B7DA8" w14:textId="2412D97B" w:rsidR="00934704" w:rsidRDefault="00934704"/>
    <w:p w14:paraId="2BD8204C" w14:textId="5D52B082" w:rsidR="00A331E8" w:rsidRDefault="00A331E8">
      <w:r>
        <w:t xml:space="preserve">This procedure applies to the bookkeeper/accountant involved with the collection of accounts receivable funds. </w:t>
      </w:r>
    </w:p>
    <w:p w14:paraId="66494556" w14:textId="77777777" w:rsidR="00A331E8" w:rsidRDefault="00A331E8"/>
    <w:tbl>
      <w:tblPr>
        <w:tblStyle w:val="TableGrid"/>
        <w:tblW w:w="0" w:type="auto"/>
        <w:shd w:val="clear" w:color="auto" w:fill="D9D9D9" w:themeFill="background1" w:themeFillShade="D9"/>
        <w:tblLook w:val="04A0" w:firstRow="1" w:lastRow="0" w:firstColumn="1" w:lastColumn="0" w:noHBand="0" w:noVBand="1"/>
      </w:tblPr>
      <w:tblGrid>
        <w:gridCol w:w="9350"/>
      </w:tblGrid>
      <w:tr w:rsidR="00934704" w14:paraId="4941BF4B" w14:textId="77777777" w:rsidTr="00934704">
        <w:tc>
          <w:tcPr>
            <w:tcW w:w="9350" w:type="dxa"/>
            <w:shd w:val="clear" w:color="auto" w:fill="D9D9D9" w:themeFill="background1" w:themeFillShade="D9"/>
          </w:tcPr>
          <w:p w14:paraId="6A33333E" w14:textId="7E8BFC25" w:rsidR="00934704" w:rsidRPr="00934704" w:rsidRDefault="00934704">
            <w:pPr>
              <w:rPr>
                <w:b/>
                <w:bCs/>
                <w:sz w:val="20"/>
                <w:szCs w:val="20"/>
              </w:rPr>
            </w:pPr>
            <w:r w:rsidRPr="00934704">
              <w:rPr>
                <w:b/>
                <w:bCs/>
                <w:sz w:val="20"/>
                <w:szCs w:val="20"/>
              </w:rPr>
              <w:t>4.0 Definitions</w:t>
            </w:r>
          </w:p>
        </w:tc>
      </w:tr>
    </w:tbl>
    <w:p w14:paraId="022E0FD1" w14:textId="5B5503DC" w:rsidR="00934704" w:rsidRDefault="00934704"/>
    <w:tbl>
      <w:tblPr>
        <w:tblStyle w:val="TableGrid"/>
        <w:tblW w:w="0" w:type="auto"/>
        <w:shd w:val="clear" w:color="auto" w:fill="D9D9D9" w:themeFill="background1" w:themeFillShade="D9"/>
        <w:tblLook w:val="04A0" w:firstRow="1" w:lastRow="0" w:firstColumn="1" w:lastColumn="0" w:noHBand="0" w:noVBand="1"/>
      </w:tblPr>
      <w:tblGrid>
        <w:gridCol w:w="9350"/>
      </w:tblGrid>
      <w:tr w:rsidR="00934704" w14:paraId="59DE3632" w14:textId="77777777" w:rsidTr="00934704">
        <w:tc>
          <w:tcPr>
            <w:tcW w:w="9350" w:type="dxa"/>
            <w:shd w:val="clear" w:color="auto" w:fill="D9D9D9" w:themeFill="background1" w:themeFillShade="D9"/>
          </w:tcPr>
          <w:p w14:paraId="59E24E2F" w14:textId="436EF947" w:rsidR="00934704" w:rsidRPr="00934704" w:rsidRDefault="00934704">
            <w:pPr>
              <w:rPr>
                <w:b/>
                <w:bCs/>
                <w:sz w:val="20"/>
                <w:szCs w:val="20"/>
              </w:rPr>
            </w:pPr>
            <w:r w:rsidRPr="00934704">
              <w:rPr>
                <w:b/>
                <w:bCs/>
                <w:sz w:val="20"/>
                <w:szCs w:val="20"/>
              </w:rPr>
              <w:t>5.0 Procedures/Guidelines &amp; Information</w:t>
            </w:r>
          </w:p>
        </w:tc>
      </w:tr>
    </w:tbl>
    <w:p w14:paraId="678208D4" w14:textId="77777777" w:rsidR="00934704" w:rsidRDefault="00934704"/>
    <w:p w14:paraId="1C2D8618" w14:textId="46189643" w:rsidR="005B7A65" w:rsidRDefault="005B7A65">
      <w:r>
        <w:t>All invoices will reference payment timelines and the intent to send unpaid debts to collections and/or</w:t>
      </w:r>
      <w:r w:rsidR="00CA37B7">
        <w:t xml:space="preserve"> utilize</w:t>
      </w:r>
      <w:r>
        <w:t xml:space="preserve"> </w:t>
      </w:r>
      <w:r w:rsidR="00CA37B7">
        <w:t>property liens to satisfy debts</w:t>
      </w:r>
      <w:r>
        <w:t xml:space="preserve">. </w:t>
      </w:r>
    </w:p>
    <w:p w14:paraId="151BB1FD" w14:textId="77777777" w:rsidR="005B7A65" w:rsidRDefault="005B7A65"/>
    <w:p w14:paraId="1A27B897" w14:textId="38B1E867" w:rsidR="00BF3621" w:rsidRDefault="00BF3621">
      <w:r>
        <w:t>ACCOUNTS RECEIVEABLE TIMELINE</w:t>
      </w:r>
    </w:p>
    <w:p w14:paraId="5D4E3DEF" w14:textId="77777777" w:rsidR="00BF3621" w:rsidRDefault="00BF3621"/>
    <w:p w14:paraId="61DEC78D" w14:textId="7662005A" w:rsidR="00BF3621" w:rsidRDefault="00BF3621" w:rsidP="00BF3621">
      <w:pPr>
        <w:pStyle w:val="ListParagraph"/>
        <w:numPr>
          <w:ilvl w:val="0"/>
          <w:numId w:val="1"/>
        </w:numPr>
      </w:pPr>
      <w:r>
        <w:t xml:space="preserve">Initial Invoices - Invoices shall be sent out via email within five (5) business days upon permit application or fees/fines being incurred or other invoicing needs. </w:t>
      </w:r>
    </w:p>
    <w:p w14:paraId="78093D39" w14:textId="3B53738C" w:rsidR="00BF3621" w:rsidRDefault="00BF3621" w:rsidP="00BF3621">
      <w:pPr>
        <w:pStyle w:val="ListParagraph"/>
        <w:numPr>
          <w:ilvl w:val="0"/>
          <w:numId w:val="1"/>
        </w:numPr>
      </w:pPr>
      <w:r>
        <w:t xml:space="preserve">First Reminder - Reminder of unpaid invoices shall be sent out via email as “past due” forty-five (45) days after the initial invoice is sent if the debt remains unpaid. </w:t>
      </w:r>
    </w:p>
    <w:p w14:paraId="68EAEC36" w14:textId="5DB0FCC5" w:rsidR="005B7A65" w:rsidRDefault="00BF3621" w:rsidP="00BF3621">
      <w:pPr>
        <w:pStyle w:val="ListParagraph"/>
        <w:numPr>
          <w:ilvl w:val="0"/>
          <w:numId w:val="1"/>
        </w:numPr>
      </w:pPr>
      <w:r>
        <w:lastRenderedPageBreak/>
        <w:t xml:space="preserve">Second Reminder – Reminder of unpaid invoices shall be sent out via email and </w:t>
      </w:r>
      <w:r w:rsidR="00BE119F">
        <w:t>regular mail</w:t>
      </w:r>
      <w:r>
        <w:t xml:space="preserve"> to the address on file of the responsible party for the invoice (this could be property, vendor, owner, etc.) as “past due” ninety (90) days after the initial invoice is sent with </w:t>
      </w:r>
      <w:r w:rsidR="005B7A65">
        <w:t xml:space="preserve">an additional $50.00 past due fee applied. </w:t>
      </w:r>
    </w:p>
    <w:p w14:paraId="51C2540F" w14:textId="0E019B75" w:rsidR="005B7A65" w:rsidRDefault="005B7A65" w:rsidP="00BF3621">
      <w:pPr>
        <w:pStyle w:val="ListParagraph"/>
        <w:numPr>
          <w:ilvl w:val="0"/>
          <w:numId w:val="1"/>
        </w:numPr>
      </w:pPr>
      <w:r>
        <w:t xml:space="preserve">Third/Final Reminder - </w:t>
      </w:r>
      <w:r>
        <w:t xml:space="preserve">Reminder of unpaid invoices shall be sent out via email and </w:t>
      </w:r>
      <w:r>
        <w:t>certified mail</w:t>
      </w:r>
      <w:r>
        <w:t xml:space="preserve"> to the address on file of the responsible party for the invoice (this could be property, vendor, owner, etc.) as “</w:t>
      </w:r>
      <w:r>
        <w:t>final notice</w:t>
      </w:r>
      <w:r>
        <w:t xml:space="preserve">” </w:t>
      </w:r>
      <w:r>
        <w:t>one hundred thirty-five</w:t>
      </w:r>
      <w:r>
        <w:t xml:space="preserve"> (</w:t>
      </w:r>
      <w:r>
        <w:t>135</w:t>
      </w:r>
      <w:r>
        <w:t xml:space="preserve">) days after the initial invoice is sent with </w:t>
      </w:r>
      <w:r>
        <w:t>emphasis that the debt will be</w:t>
      </w:r>
      <w:r w:rsidR="005F7F51">
        <w:t xml:space="preserve"> assessed and additional 35% fee prior to being</w:t>
      </w:r>
      <w:r>
        <w:t xml:space="preserve"> sent to collections and/or the process for property liens will be initiated after one hundred-eighty (180) days if the debt remains unpaid. </w:t>
      </w:r>
    </w:p>
    <w:p w14:paraId="762E1363" w14:textId="77777777" w:rsidR="005B7A65" w:rsidRDefault="005B7A65" w:rsidP="005B7A65"/>
    <w:p w14:paraId="504F7303" w14:textId="77777777" w:rsidR="005B7A65" w:rsidRDefault="005B7A65" w:rsidP="005B7A65"/>
    <w:p w14:paraId="2D2421BE" w14:textId="1E3DEB5A" w:rsidR="005B7A65" w:rsidRDefault="005F7F51" w:rsidP="005B7A65">
      <w:r>
        <w:t>COLLECTIONS V. PROPERTY LIEN</w:t>
      </w:r>
    </w:p>
    <w:p w14:paraId="23180289" w14:textId="77777777" w:rsidR="005F7F51" w:rsidRDefault="005F7F51" w:rsidP="005B7A65"/>
    <w:p w14:paraId="2BE7B06B" w14:textId="2C2555CC" w:rsidR="005F7F51" w:rsidRDefault="005F7F51" w:rsidP="005B7A65">
      <w:r>
        <w:t xml:space="preserve">All debts less than $1000.00 will utilize the collections process of a $50.00 “past due” fee applied after ninety (90) and a 35% additional fee applied at one hundred-eighty (180) days with the delinquent account being sent to Bonded Business Services Ltd (BBS) for the purpose of collecting on such account. </w:t>
      </w:r>
    </w:p>
    <w:p w14:paraId="0E8B27BB" w14:textId="77777777" w:rsidR="005F7F51" w:rsidRDefault="005F7F51" w:rsidP="005B7A65"/>
    <w:p w14:paraId="44F45B9C" w14:textId="1A1AD4D7" w:rsidR="005F7F51" w:rsidRDefault="005F7F51" w:rsidP="005B7A65">
      <w:r>
        <w:t xml:space="preserve">Debts greater than $1000.00 involving real property within the Nederland Fire Protection District will utilize </w:t>
      </w:r>
      <w:r w:rsidR="00BE119F">
        <w:t xml:space="preserve">a Colorado Mechanic’s Lien filed with the Boulder County Clerk and Recorder with the </w:t>
      </w:r>
      <w:r w:rsidR="00F82A0A">
        <w:t xml:space="preserve">minimum </w:t>
      </w:r>
      <w:r w:rsidR="00BE119F">
        <w:t xml:space="preserve">statutory interest rate as set forth in </w:t>
      </w:r>
      <w:r w:rsidR="00BE119F" w:rsidRPr="00BE119F">
        <w:t>C.R.S. § 5-12-103(3</w:t>
      </w:r>
      <w:r w:rsidR="00BE119F">
        <w:t xml:space="preserve">).  Debts greater than $1000.00 not involving real properties within District boundaries shall follow the collections process as defined above. </w:t>
      </w:r>
    </w:p>
    <w:p w14:paraId="694A752B" w14:textId="2925E08C" w:rsidR="00A331E8" w:rsidRDefault="00A331E8" w:rsidP="005B7A65">
      <w:r>
        <w:br/>
      </w:r>
    </w:p>
    <w:p w14:paraId="4AFF9205" w14:textId="77777777" w:rsidR="00A331E8" w:rsidRDefault="00A331E8"/>
    <w:sectPr w:rsidR="00A331E8" w:rsidSect="004976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EB4567"/>
    <w:multiLevelType w:val="hybridMultilevel"/>
    <w:tmpl w:val="78365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8411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EE"/>
    <w:rsid w:val="0016304A"/>
    <w:rsid w:val="002064EE"/>
    <w:rsid w:val="00497668"/>
    <w:rsid w:val="005B7A65"/>
    <w:rsid w:val="005F7F51"/>
    <w:rsid w:val="00934704"/>
    <w:rsid w:val="00A331E8"/>
    <w:rsid w:val="00BE119F"/>
    <w:rsid w:val="00BF3621"/>
    <w:rsid w:val="00CA37B7"/>
    <w:rsid w:val="00DE0CC2"/>
    <w:rsid w:val="00EB3036"/>
    <w:rsid w:val="00F82A0A"/>
    <w:rsid w:val="27F60B6E"/>
    <w:rsid w:val="39F9E457"/>
    <w:rsid w:val="4A298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BC237"/>
  <w15:chartTrackingRefBased/>
  <w15:docId w15:val="{163E60A0-3625-2843-8702-E5774727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6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36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0b42ca36-c917-426e-b10f-a601cd052900" xsi:nil="true"/>
    <lcf76f155ced4ddcb4097134ff3c332f xmlns="0b42ca36-c917-426e-b10f-a601cd052900">
      <Terms xmlns="http://schemas.microsoft.com/office/infopath/2007/PartnerControls"/>
    </lcf76f155ced4ddcb4097134ff3c332f>
    <TaxCatchAll xmlns="66d75f40-7d24-403a-a859-e7f12c41f900" xsi:nil="true"/>
    <SharedWithUsers xmlns="66d75f40-7d24-403a-a859-e7f12c41f900">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5BABA26B305243A60A31FCA787FEA4" ma:contentTypeVersion="14" ma:contentTypeDescription="Create a new document." ma:contentTypeScope="" ma:versionID="a57cb52671046498ecd7412e93762635">
  <xsd:schema xmlns:xsd="http://www.w3.org/2001/XMLSchema" xmlns:xs="http://www.w3.org/2001/XMLSchema" xmlns:p="http://schemas.microsoft.com/office/2006/metadata/properties" xmlns:ns2="0b42ca36-c917-426e-b10f-a601cd052900" xmlns:ns3="66d75f40-7d24-403a-a859-e7f12c41f900" targetNamespace="http://schemas.microsoft.com/office/2006/metadata/properties" ma:root="true" ma:fieldsID="9da75f280fcbcce481d5d7f0d90c86e5" ns2:_="" ns3:_="">
    <xsd:import namespace="0b42ca36-c917-426e-b10f-a601cd052900"/>
    <xsd:import namespace="66d75f40-7d24-403a-a859-e7f12c41f90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2ca36-c917-426e-b10f-a601cd0529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c163435-b481-4f32-b3c0-29a0a124260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d75f40-7d24-403a-a859-e7f12c41f90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2242ec2-981d-471e-806a-d1c1a5aa8884}" ma:internalName="TaxCatchAll" ma:showField="CatchAllData" ma:web="66d75f40-7d24-403a-a859-e7f12c41f90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C1D574-D767-4270-89C8-3CAA561D155D}">
  <ds:schemaRefs>
    <ds:schemaRef ds:uri="http://schemas.microsoft.com/office/2006/metadata/properties"/>
    <ds:schemaRef ds:uri="http://schemas.microsoft.com/office/infopath/2007/PartnerControls"/>
    <ds:schemaRef ds:uri="0b42ca36-c917-426e-b10f-a601cd052900"/>
    <ds:schemaRef ds:uri="66d75f40-7d24-403a-a859-e7f12c41f900"/>
  </ds:schemaRefs>
</ds:datastoreItem>
</file>

<file path=customXml/itemProps2.xml><?xml version="1.0" encoding="utf-8"?>
<ds:datastoreItem xmlns:ds="http://schemas.openxmlformats.org/officeDocument/2006/customXml" ds:itemID="{D6DB739C-7D45-47CE-A50D-96F00A676DB3}">
  <ds:schemaRefs>
    <ds:schemaRef ds:uri="http://schemas.microsoft.com/sharepoint/v3/contenttype/forms"/>
  </ds:schemaRefs>
</ds:datastoreItem>
</file>

<file path=customXml/itemProps3.xml><?xml version="1.0" encoding="utf-8"?>
<ds:datastoreItem xmlns:ds="http://schemas.openxmlformats.org/officeDocument/2006/customXml" ds:itemID="{84289AA3-7D69-4D1D-93DF-5333D0C873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42ca36-c917-426e-b10f-a601cd052900"/>
    <ds:schemaRef ds:uri="66d75f40-7d24-403a-a859-e7f12c41f9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391</Words>
  <Characters>2598</Characters>
  <Application>Microsoft Office Word</Application>
  <DocSecurity>0</DocSecurity>
  <Lines>324</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Irwin-Powell</dc:creator>
  <cp:keywords/>
  <dc:description/>
  <cp:lastModifiedBy>Sherry Snyder</cp:lastModifiedBy>
  <cp:revision>3</cp:revision>
  <cp:lastPrinted>2020-01-12T16:41:00Z</cp:lastPrinted>
  <dcterms:created xsi:type="dcterms:W3CDTF">2025-09-17T15:55:00Z</dcterms:created>
  <dcterms:modified xsi:type="dcterms:W3CDTF">2025-09-17T15:57:00Z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0x010100AA5BABA26B305243A60A31FCA787FEA4</vt:lpwstr>
  </property>
  <property fmtid="{D5CDD505-2E9C-101B-9397-08002B2CF9AE}" pid="3" name="Order">
    <vt:r8>45400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xd_Signature">
    <vt:bool>false</vt:bool>
  </property>
  <property fmtid="{D5CDD505-2E9C-101B-9397-08002B2CF9AE}" pid="10" name="xd_ProgID">
    <vt:lpwstr/>
  </property>
  <property fmtid="{D5CDD505-2E9C-101B-9397-08002B2CF9AE}" pid="11" name="TemplateUrl">
    <vt:lpwstr/>
  </property>
  <property fmtid="{D5CDD505-2E9C-101B-9397-08002B2CF9AE}" pid="12" name="MediaServiceImageTags">
    <vt:lpwstr/>
  </property>
</Properties>
</file>