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240"/>
        <w:gridCol w:w="4675"/>
      </w:tblGrid>
      <w:tr w:rsidR="002064EE" w:rsidTr="4A29882D" w14:paraId="7D8CBAC2" w14:textId="77777777">
        <w:trPr>
          <w:trHeight w:val="764"/>
        </w:trPr>
        <w:tc>
          <w:tcPr>
            <w:tcW w:w="1435" w:type="dxa"/>
          </w:tcPr>
          <w:p w:rsidR="002064EE" w:rsidRDefault="39F9E457" w14:paraId="06048BDA" w14:textId="335A996F">
            <w:r>
              <w:rPr>
                <w:noProof/>
              </w:rPr>
              <w:drawing>
                <wp:inline distT="0" distB="0" distL="0" distR="0" wp14:anchorId="52118509" wp14:editId="69CADB8F">
                  <wp:extent cx="666750" cy="666750"/>
                  <wp:effectExtent l="0" t="0" r="0" b="0"/>
                  <wp:docPr id="120400141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001419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  <w:gridSpan w:val="2"/>
          </w:tcPr>
          <w:p w:rsidRPr="002064EE" w:rsidR="002064EE" w:rsidP="002064EE" w:rsidRDefault="002064EE" w14:paraId="0048733A" w14:textId="77777777">
            <w:pPr>
              <w:jc w:val="center"/>
              <w:rPr>
                <w:sz w:val="22"/>
                <w:szCs w:val="22"/>
              </w:rPr>
            </w:pPr>
            <w:r w:rsidRPr="002064EE">
              <w:rPr>
                <w:sz w:val="22"/>
                <w:szCs w:val="22"/>
              </w:rPr>
              <w:t>Nederland Fire Protection District</w:t>
            </w:r>
          </w:p>
          <w:p w:rsidR="002064EE" w:rsidP="002064EE" w:rsidRDefault="002064EE" w14:paraId="7775CED5" w14:textId="3DA1300B">
            <w:pPr>
              <w:jc w:val="center"/>
            </w:pPr>
            <w:r w:rsidRPr="002064EE">
              <w:rPr>
                <w:sz w:val="22"/>
                <w:szCs w:val="22"/>
              </w:rPr>
              <w:t>Standard Operating Procedures and Guidelines</w:t>
            </w:r>
          </w:p>
        </w:tc>
      </w:tr>
      <w:tr w:rsidR="002064EE" w:rsidTr="4A29882D" w14:paraId="2BDB941D" w14:textId="77777777">
        <w:tc>
          <w:tcPr>
            <w:tcW w:w="4675" w:type="dxa"/>
            <w:gridSpan w:val="2"/>
          </w:tcPr>
          <w:p w:rsidRPr="002064EE" w:rsidR="002064EE" w:rsidRDefault="002064EE" w14:paraId="705C59C9" w14:textId="71B547CB">
            <w:pPr>
              <w:rPr>
                <w:sz w:val="20"/>
                <w:szCs w:val="20"/>
              </w:rPr>
            </w:pPr>
            <w:r w:rsidRPr="002064EE">
              <w:rPr>
                <w:b/>
                <w:bCs/>
                <w:sz w:val="20"/>
                <w:szCs w:val="20"/>
              </w:rPr>
              <w:t xml:space="preserve">Title: </w:t>
            </w:r>
            <w:r w:rsidR="00DE5233">
              <w:rPr>
                <w:b/>
                <w:bCs/>
                <w:sz w:val="20"/>
                <w:szCs w:val="20"/>
              </w:rPr>
              <w:t>Wildland Deployment Pay Rates</w:t>
            </w:r>
          </w:p>
        </w:tc>
        <w:tc>
          <w:tcPr>
            <w:tcW w:w="4675" w:type="dxa"/>
          </w:tcPr>
          <w:p w:rsidRPr="002064EE" w:rsidR="002064EE" w:rsidRDefault="002064EE" w14:paraId="21ED68D6" w14:textId="49585D25">
            <w:pPr>
              <w:rPr>
                <w:b/>
                <w:bCs/>
                <w:sz w:val="20"/>
                <w:szCs w:val="20"/>
              </w:rPr>
            </w:pPr>
            <w:r w:rsidRPr="002064EE">
              <w:rPr>
                <w:b/>
                <w:bCs/>
                <w:sz w:val="20"/>
                <w:szCs w:val="20"/>
              </w:rPr>
              <w:t>Section/Topic:</w:t>
            </w:r>
            <w:r w:rsidR="00DE5233">
              <w:rPr>
                <w:b/>
                <w:bCs/>
                <w:sz w:val="20"/>
                <w:szCs w:val="20"/>
              </w:rPr>
              <w:t xml:space="preserve"> Wildland Operations</w:t>
            </w:r>
          </w:p>
        </w:tc>
      </w:tr>
      <w:tr w:rsidR="002064EE" w:rsidTr="4A29882D" w14:paraId="6C22DD50" w14:textId="77777777">
        <w:tc>
          <w:tcPr>
            <w:tcW w:w="4675" w:type="dxa"/>
            <w:gridSpan w:val="2"/>
          </w:tcPr>
          <w:p w:rsidRPr="002064EE" w:rsidR="002064EE" w:rsidRDefault="002064EE" w14:paraId="6C5F9059" w14:textId="61AE0AAA">
            <w:pPr>
              <w:rPr>
                <w:b/>
                <w:bCs/>
                <w:sz w:val="20"/>
                <w:szCs w:val="20"/>
              </w:rPr>
            </w:pPr>
            <w:r w:rsidRPr="002064EE">
              <w:rPr>
                <w:b/>
                <w:bCs/>
                <w:sz w:val="20"/>
                <w:szCs w:val="20"/>
              </w:rPr>
              <w:t>Number:</w:t>
            </w:r>
            <w:r w:rsidR="00DE5233">
              <w:rPr>
                <w:b/>
                <w:bCs/>
                <w:sz w:val="20"/>
                <w:szCs w:val="20"/>
              </w:rPr>
              <w:t xml:space="preserve"> 10.03</w:t>
            </w:r>
          </w:p>
        </w:tc>
        <w:tc>
          <w:tcPr>
            <w:tcW w:w="4675" w:type="dxa"/>
          </w:tcPr>
          <w:p w:rsidRPr="002064EE" w:rsidR="002064EE" w:rsidRDefault="002064EE" w14:paraId="2931875E" w14:textId="1B2DB3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Issue Date:</w:t>
            </w:r>
          </w:p>
        </w:tc>
      </w:tr>
      <w:tr w:rsidR="002064EE" w:rsidTr="4A29882D" w14:paraId="677279FC" w14:textId="77777777">
        <w:tc>
          <w:tcPr>
            <w:tcW w:w="4675" w:type="dxa"/>
            <w:gridSpan w:val="2"/>
          </w:tcPr>
          <w:p w:rsidRPr="002064EE" w:rsidR="002064EE" w:rsidRDefault="002064EE" w14:paraId="109140CC" w14:textId="24E06722">
            <w:pPr>
              <w:rPr>
                <w:b/>
                <w:bCs/>
                <w:sz w:val="20"/>
                <w:szCs w:val="20"/>
              </w:rPr>
            </w:pPr>
            <w:r w:rsidRPr="002064EE">
              <w:rPr>
                <w:b/>
                <w:bCs/>
                <w:sz w:val="20"/>
                <w:szCs w:val="20"/>
              </w:rPr>
              <w:t>Revision Date:</w:t>
            </w:r>
          </w:p>
        </w:tc>
        <w:tc>
          <w:tcPr>
            <w:tcW w:w="4675" w:type="dxa"/>
          </w:tcPr>
          <w:p w:rsidRPr="002064EE" w:rsidR="002064EE" w:rsidRDefault="002064EE" w14:paraId="2F6F99F8" w14:textId="5DD52A67">
            <w:pPr>
              <w:rPr>
                <w:b/>
                <w:bCs/>
                <w:sz w:val="20"/>
                <w:szCs w:val="20"/>
              </w:rPr>
            </w:pPr>
            <w:r w:rsidRPr="002064EE">
              <w:rPr>
                <w:b/>
                <w:bCs/>
                <w:sz w:val="20"/>
                <w:szCs w:val="20"/>
              </w:rPr>
              <w:t>Revision Number:</w:t>
            </w:r>
          </w:p>
        </w:tc>
      </w:tr>
      <w:tr w:rsidR="002064EE" w:rsidTr="4A29882D" w14:paraId="51C48C86" w14:textId="77777777">
        <w:trPr>
          <w:trHeight w:val="1592"/>
        </w:trPr>
        <w:tc>
          <w:tcPr>
            <w:tcW w:w="4675" w:type="dxa"/>
            <w:gridSpan w:val="2"/>
          </w:tcPr>
          <w:p w:rsidRPr="002064EE" w:rsidR="002064EE" w:rsidRDefault="002064EE" w14:paraId="2DBEAFE9" w14:textId="1E7F7B84">
            <w:pPr>
              <w:rPr>
                <w:b/>
                <w:bCs/>
                <w:sz w:val="20"/>
                <w:szCs w:val="20"/>
              </w:rPr>
            </w:pPr>
            <w:r w:rsidRPr="002064EE">
              <w:rPr>
                <w:b/>
                <w:bCs/>
                <w:sz w:val="20"/>
                <w:szCs w:val="20"/>
              </w:rPr>
              <w:t>Prepared By:</w:t>
            </w:r>
            <w:r w:rsidR="00DE5233">
              <w:rPr>
                <w:b/>
                <w:bCs/>
                <w:sz w:val="20"/>
                <w:szCs w:val="20"/>
              </w:rPr>
              <w:t xml:space="preserve"> Sherry Snyder</w:t>
            </w:r>
          </w:p>
        </w:tc>
        <w:tc>
          <w:tcPr>
            <w:tcW w:w="4675" w:type="dxa"/>
          </w:tcPr>
          <w:p w:rsidRPr="002064EE" w:rsidR="002064EE" w:rsidRDefault="002064EE" w14:paraId="076F3EB0" w14:textId="6F68DEB9">
            <w:pPr>
              <w:rPr>
                <w:b/>
                <w:bCs/>
                <w:sz w:val="20"/>
                <w:szCs w:val="20"/>
              </w:rPr>
            </w:pPr>
            <w:r w:rsidRPr="002064EE">
              <w:rPr>
                <w:b/>
                <w:bCs/>
                <w:sz w:val="20"/>
                <w:szCs w:val="20"/>
              </w:rPr>
              <w:t>Approved By:</w:t>
            </w:r>
          </w:p>
        </w:tc>
      </w:tr>
    </w:tbl>
    <w:p w:rsidR="4A29882D" w:rsidRDefault="4A29882D" w14:paraId="7A0101AA" w14:textId="435865EB"/>
    <w:p w:rsidR="00EB3036" w:rsidRDefault="00EB3036" w14:paraId="5A7951E4" w14:textId="1C88B059"/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934704" w:rsidTr="00934704" w14:paraId="2CC439F9" w14:textId="77777777">
        <w:tc>
          <w:tcPr>
            <w:tcW w:w="9350" w:type="dxa"/>
            <w:shd w:val="clear" w:color="auto" w:fill="D9D9D9" w:themeFill="background1" w:themeFillShade="D9"/>
          </w:tcPr>
          <w:p w:rsidRPr="00934704" w:rsidR="00934704" w:rsidRDefault="00934704" w14:paraId="65774CA5" w14:textId="6C438327">
            <w:pPr>
              <w:rPr>
                <w:b/>
                <w:bCs/>
                <w:sz w:val="20"/>
                <w:szCs w:val="20"/>
              </w:rPr>
            </w:pPr>
            <w:r w:rsidRPr="00934704">
              <w:rPr>
                <w:b/>
                <w:bCs/>
                <w:sz w:val="20"/>
                <w:szCs w:val="20"/>
              </w:rPr>
              <w:t>1.0 Policy Reference</w:t>
            </w:r>
          </w:p>
        </w:tc>
      </w:tr>
    </w:tbl>
    <w:p w:rsidR="00934704" w:rsidRDefault="00934704" w14:paraId="42E20D84" w14:textId="178624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455"/>
      </w:tblGrid>
      <w:tr w:rsidR="00934704" w:rsidTr="00934704" w14:paraId="1B98E1B6" w14:textId="77777777">
        <w:tc>
          <w:tcPr>
            <w:tcW w:w="895" w:type="dxa"/>
          </w:tcPr>
          <w:p w:rsidR="00934704" w:rsidRDefault="00DE5233" w14:paraId="7A067527" w14:textId="0062CEE1">
            <w:r>
              <w:t>DFPC</w:t>
            </w:r>
          </w:p>
        </w:tc>
        <w:tc>
          <w:tcPr>
            <w:tcW w:w="8455" w:type="dxa"/>
          </w:tcPr>
          <w:p w:rsidR="00934704" w:rsidRDefault="00DE5233" w14:paraId="64C95A44" w14:textId="7CC753F2">
            <w:r>
              <w:t>Position Pay Rate Matrix</w:t>
            </w:r>
          </w:p>
        </w:tc>
      </w:tr>
      <w:tr w:rsidR="00934704" w:rsidTr="00934704" w14:paraId="01E1E6E4" w14:textId="77777777">
        <w:tc>
          <w:tcPr>
            <w:tcW w:w="895" w:type="dxa"/>
          </w:tcPr>
          <w:p w:rsidR="00934704" w:rsidRDefault="00934704" w14:paraId="5317B205" w14:textId="62A1AF61">
            <w:r>
              <w:t>NIMS</w:t>
            </w:r>
          </w:p>
        </w:tc>
        <w:tc>
          <w:tcPr>
            <w:tcW w:w="8455" w:type="dxa"/>
          </w:tcPr>
          <w:p w:rsidR="00934704" w:rsidRDefault="00934704" w14:paraId="4F155EC7" w14:textId="77777777"/>
        </w:tc>
      </w:tr>
      <w:tr w:rsidR="00934704" w:rsidTr="00934704" w14:paraId="2759C56F" w14:textId="77777777">
        <w:tc>
          <w:tcPr>
            <w:tcW w:w="895" w:type="dxa"/>
          </w:tcPr>
          <w:p w:rsidR="00934704" w:rsidRDefault="00934704" w14:paraId="52637033" w14:textId="37F5CF56">
            <w:r>
              <w:t>LODD</w:t>
            </w:r>
          </w:p>
        </w:tc>
        <w:tc>
          <w:tcPr>
            <w:tcW w:w="8455" w:type="dxa"/>
          </w:tcPr>
          <w:p w:rsidR="00934704" w:rsidRDefault="00934704" w14:paraId="4BD43749" w14:textId="77777777"/>
        </w:tc>
      </w:tr>
    </w:tbl>
    <w:p w:rsidR="00934704" w:rsidRDefault="00934704" w14:paraId="103F3DD2" w14:textId="7FB1D13B"/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934704" w:rsidTr="00934704" w14:paraId="57A11725" w14:textId="77777777">
        <w:tc>
          <w:tcPr>
            <w:tcW w:w="9350" w:type="dxa"/>
            <w:shd w:val="clear" w:color="auto" w:fill="D9D9D9" w:themeFill="background1" w:themeFillShade="D9"/>
          </w:tcPr>
          <w:p w:rsidRPr="00934704" w:rsidR="00934704" w:rsidRDefault="00934704" w14:paraId="33517924" w14:textId="7C6F1B7B">
            <w:pPr>
              <w:rPr>
                <w:b/>
                <w:bCs/>
                <w:sz w:val="20"/>
                <w:szCs w:val="20"/>
              </w:rPr>
            </w:pPr>
            <w:r w:rsidRPr="00934704">
              <w:rPr>
                <w:b/>
                <w:bCs/>
                <w:sz w:val="20"/>
                <w:szCs w:val="20"/>
              </w:rPr>
              <w:t>2.0 Purpose</w:t>
            </w:r>
          </w:p>
        </w:tc>
      </w:tr>
    </w:tbl>
    <w:p w:rsidR="00934704" w:rsidRDefault="00934704" w14:paraId="63B4D15F" w14:textId="4D7E3EC9"/>
    <w:p w:rsidR="00DE5233" w:rsidRDefault="00DE5233" w14:paraId="0EF4DA63" w14:textId="779DA631">
      <w:r>
        <w:t>Rate methodologies for</w:t>
      </w:r>
      <w:r w:rsidR="0089328A">
        <w:t xml:space="preserve"> volunteer or supplemental resources</w:t>
      </w:r>
      <w:r>
        <w:t xml:space="preserve"> must be established and provided to the Colorado Division of Fire Prevention and Control (DFPC) prior to the Personnel Resource Status Report (PRSR) being approved for the wildland season. </w:t>
      </w:r>
    </w:p>
    <w:p w:rsidR="00DE5233" w:rsidRDefault="00DE5233" w14:paraId="57078FFA" w14:textId="77777777"/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934704" w:rsidTr="00934704" w14:paraId="78075264" w14:textId="77777777">
        <w:tc>
          <w:tcPr>
            <w:tcW w:w="9350" w:type="dxa"/>
            <w:shd w:val="clear" w:color="auto" w:fill="D9D9D9" w:themeFill="background1" w:themeFillShade="D9"/>
          </w:tcPr>
          <w:p w:rsidRPr="00934704" w:rsidR="00934704" w:rsidRDefault="00934704" w14:paraId="35F0F582" w14:textId="017296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3.0 Scope</w:t>
            </w:r>
          </w:p>
        </w:tc>
      </w:tr>
    </w:tbl>
    <w:p w:rsidR="00934704" w:rsidRDefault="00934704" w14:paraId="7F3B7DA8" w14:textId="2412D97B"/>
    <w:p w:rsidR="00DE5233" w:rsidRDefault="00DE5233" w14:paraId="080D2107" w14:textId="39884650">
      <w:r>
        <w:t xml:space="preserve">Deployment pay rates shall apply to all volunteers and supplemental resource employees (where applicable) whether deploying as a single resource or with a crew. </w:t>
      </w:r>
    </w:p>
    <w:p w:rsidR="00DE5233" w:rsidRDefault="00DE5233" w14:paraId="222C254B" w14:textId="77777777"/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934704" w:rsidTr="00934704" w14:paraId="4941BF4B" w14:textId="77777777">
        <w:tc>
          <w:tcPr>
            <w:tcW w:w="9350" w:type="dxa"/>
            <w:shd w:val="clear" w:color="auto" w:fill="D9D9D9" w:themeFill="background1" w:themeFillShade="D9"/>
          </w:tcPr>
          <w:p w:rsidRPr="00934704" w:rsidR="00934704" w:rsidRDefault="00934704" w14:paraId="6A33333E" w14:textId="7E8BFC25">
            <w:pPr>
              <w:rPr>
                <w:b/>
                <w:bCs/>
                <w:sz w:val="20"/>
                <w:szCs w:val="20"/>
              </w:rPr>
            </w:pPr>
            <w:r w:rsidRPr="00934704">
              <w:rPr>
                <w:b/>
                <w:bCs/>
                <w:sz w:val="20"/>
                <w:szCs w:val="20"/>
              </w:rPr>
              <w:t>4.0 Definitions</w:t>
            </w:r>
          </w:p>
        </w:tc>
      </w:tr>
    </w:tbl>
    <w:p w:rsidR="00E20562" w:rsidP="00E20562" w:rsidRDefault="00E20562" w14:paraId="290ED1BE" w14:textId="77777777"/>
    <w:p w:rsidR="00E20562" w:rsidRDefault="00DE5233" w14:paraId="60AE2E2A" w14:textId="5E646821">
      <w:r w:rsidRPr="00E20562">
        <w:rPr>
          <w:b/>
          <w:bCs/>
        </w:rPr>
        <w:t>DFPC</w:t>
      </w:r>
      <w:r>
        <w:t xml:space="preserve"> – Colorado Division of Fire Prevention and Control</w:t>
      </w:r>
      <w:r w:rsidR="0089328A">
        <w:br/>
      </w:r>
    </w:p>
    <w:p w:rsidR="00DE5233" w:rsidRDefault="00DE5233" w14:paraId="1F076B74" w14:textId="5E2586B8">
      <w:r w:rsidRPr="00E20562">
        <w:rPr>
          <w:b/>
          <w:bCs/>
        </w:rPr>
        <w:t>PRSR</w:t>
      </w:r>
      <w:r>
        <w:t xml:space="preserve"> – Personnel Status Resource Report</w:t>
      </w:r>
      <w:r w:rsidR="00096E16">
        <w:t xml:space="preserve"> is a document used in the billing and reimbursement process for wildfire suppression resources. </w:t>
      </w:r>
    </w:p>
    <w:p w:rsidR="00DE5233" w:rsidRDefault="00DE5233" w14:paraId="2F3CFAC3" w14:textId="77777777"/>
    <w:p w:rsidR="00E20562" w:rsidP="00E20562" w:rsidRDefault="00E20562" w14:paraId="5035B006" w14:textId="77777777">
      <w:r w:rsidRPr="00E20562">
        <w:rPr>
          <w:b/>
          <w:bCs/>
        </w:rPr>
        <w:t>Supplemental Resource Employee</w:t>
      </w:r>
      <w:r>
        <w:t xml:space="preserve"> – Not volunteer or full/part/seasonal employees at the local Colorado department/agency and are only paid when mobilized.  Supplemental resources are not required to attend scheduled trainings, meetings, etc. </w:t>
      </w:r>
    </w:p>
    <w:p w:rsidR="00E20562" w:rsidP="00E20562" w:rsidRDefault="00E20562" w14:paraId="65EB89C3" w14:textId="77777777"/>
    <w:p w:rsidR="00DE5233" w:rsidRDefault="00DE5233" w14:paraId="593D3C81" w14:textId="548C76BC">
      <w:r w:rsidRPr="00E20562">
        <w:rPr>
          <w:b/>
          <w:bCs/>
        </w:rPr>
        <w:lastRenderedPageBreak/>
        <w:t>Volunteer</w:t>
      </w:r>
      <w:r>
        <w:t xml:space="preserve"> </w:t>
      </w:r>
      <w:r w:rsidR="00096E16">
        <w:t>–</w:t>
      </w:r>
      <w:r>
        <w:t xml:space="preserve"> </w:t>
      </w:r>
      <w:r w:rsidR="00096E16">
        <w:t xml:space="preserve">A current member (or probationary member) of the Nederland Fire Protection District in good standing, currently meeting all minimum requirements including training, call response and District coverage. </w:t>
      </w:r>
    </w:p>
    <w:p w:rsidR="00DE5233" w:rsidRDefault="00DE5233" w14:paraId="348292A1" w14:textId="77777777"/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934704" w:rsidTr="00934704" w14:paraId="59DE3632" w14:textId="77777777">
        <w:tc>
          <w:tcPr>
            <w:tcW w:w="9350" w:type="dxa"/>
            <w:shd w:val="clear" w:color="auto" w:fill="D9D9D9" w:themeFill="background1" w:themeFillShade="D9"/>
          </w:tcPr>
          <w:p w:rsidRPr="00934704" w:rsidR="00934704" w:rsidRDefault="00934704" w14:paraId="59E24E2F" w14:textId="436EF947">
            <w:pPr>
              <w:rPr>
                <w:b/>
                <w:bCs/>
                <w:sz w:val="20"/>
                <w:szCs w:val="20"/>
              </w:rPr>
            </w:pPr>
            <w:r w:rsidRPr="00934704">
              <w:rPr>
                <w:b/>
                <w:bCs/>
                <w:sz w:val="20"/>
                <w:szCs w:val="20"/>
              </w:rPr>
              <w:t>5.0 Procedures/Guidelines &amp; Information</w:t>
            </w:r>
          </w:p>
        </w:tc>
      </w:tr>
    </w:tbl>
    <w:p w:rsidR="00934704" w:rsidRDefault="00934704" w14:paraId="678208D4" w14:textId="77777777"/>
    <w:p w:rsidR="00E20562" w:rsidP="00E20562" w:rsidRDefault="00913CEC" w14:paraId="0C70EF6B" w14:textId="19C392BB">
      <w:r>
        <w:t xml:space="preserve">Pay Rates </w:t>
      </w:r>
      <w:r w:rsidR="00E20562">
        <w:t xml:space="preserve">shall be established by the department </w:t>
      </w:r>
      <w:r>
        <w:t xml:space="preserve">and submitted </w:t>
      </w:r>
      <w:r w:rsidR="00A83AB5">
        <w:t xml:space="preserve">to the Board </w:t>
      </w:r>
      <w:r>
        <w:t>for</w:t>
      </w:r>
      <w:r w:rsidR="00A83AB5">
        <w:t xml:space="preserve"> final</w:t>
      </w:r>
      <w:r w:rsidR="00E20562">
        <w:t xml:space="preserve"> approval. </w:t>
      </w:r>
    </w:p>
    <w:p w:rsidR="00E20562" w:rsidRDefault="00E20562" w14:paraId="1B4F3EDA" w14:textId="77777777"/>
    <w:p w:rsidR="00A83AB5" w:rsidP="00A83AB5" w:rsidRDefault="00A83AB5" w14:paraId="602173AC" w14:textId="437BDC88">
      <w:pPr>
        <w:pStyle w:val="ListParagraph"/>
        <w:numPr>
          <w:ilvl w:val="0"/>
          <w:numId w:val="1"/>
        </w:numPr>
        <w:rPr/>
      </w:pPr>
      <w:r w:rsidR="00A83AB5">
        <w:rPr/>
        <w:t>Pay Rates:</w:t>
      </w:r>
      <w:r>
        <w:br/>
      </w:r>
    </w:p>
    <w:p w:rsidR="00A83AB5" w:rsidP="36697A05" w:rsidRDefault="00A83AB5" w14:paraId="33594482" w14:textId="358E2D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="70CBFC1F">
        <w:rPr/>
        <w:t xml:space="preserve">Volunteers/Supplemental Resources </w:t>
      </w:r>
      <w:r w:rsidR="3A72ACD9">
        <w:rPr/>
        <w:t>will be compensated based on the position</w:t>
      </w:r>
      <w:r w:rsidR="3F55C719">
        <w:rPr/>
        <w:t xml:space="preserve"> of the resource order.  There may be multiple pay rates for </w:t>
      </w:r>
      <w:r w:rsidR="3BD9D552">
        <w:rPr/>
        <w:t>members</w:t>
      </w:r>
      <w:r w:rsidR="3F55C719">
        <w:rPr/>
        <w:t xml:space="preserve"> based on their qualifications and abilities</w:t>
      </w:r>
      <w:r w:rsidR="4723E087">
        <w:rPr/>
        <w:t xml:space="preserve"> that change with each resource order. </w:t>
      </w:r>
      <w:r>
        <w:br/>
      </w:r>
    </w:p>
    <w:p w:rsidR="00A83AB5" w:rsidP="00A83AB5" w:rsidRDefault="00A83AB5" w14:paraId="02A6101D" w14:textId="401DEE33">
      <w:pPr>
        <w:pStyle w:val="ListParagraph"/>
        <w:numPr>
          <w:ilvl w:val="1"/>
          <w:numId w:val="1"/>
        </w:numPr>
        <w:rPr/>
      </w:pPr>
      <w:r w:rsidR="01585492">
        <w:rPr/>
        <w:t>B</w:t>
      </w:r>
      <w:r w:rsidR="00A83AB5">
        <w:rPr/>
        <w:t xml:space="preserve">ase pay rate shall be </w:t>
      </w:r>
      <w:r w:rsidR="00A83AB5">
        <w:rPr/>
        <w:t>established</w:t>
      </w:r>
      <w:r w:rsidR="00A83AB5">
        <w:rPr/>
        <w:t xml:space="preserve"> using the current DFPC Position Pay Rate Matrix using the position/qualification for </w:t>
      </w:r>
      <w:r w:rsidR="68BFBE3B">
        <w:rPr/>
        <w:t>the</w:t>
      </w:r>
      <w:r w:rsidR="00A83AB5">
        <w:rPr/>
        <w:t xml:space="preserve"> </w:t>
      </w:r>
      <w:r w:rsidR="09C1B33A">
        <w:rPr/>
        <w:t>resource order</w:t>
      </w:r>
      <w:r w:rsidR="00A83AB5">
        <w:rPr/>
        <w:t xml:space="preserve">. </w:t>
      </w:r>
      <w:r w:rsidR="266DA114">
        <w:rPr/>
        <w:t xml:space="preserve"> </w:t>
      </w:r>
      <w:r>
        <w:br/>
      </w:r>
    </w:p>
    <w:p w:rsidR="00A83AB5" w:rsidP="00A83AB5" w:rsidRDefault="00A83AB5" w14:paraId="37C4D6B1" w14:textId="34F097D1">
      <w:pPr>
        <w:pStyle w:val="ListParagraph"/>
        <w:numPr>
          <w:ilvl w:val="1"/>
          <w:numId w:val="1"/>
        </w:numPr>
      </w:pPr>
      <w:r>
        <w:t xml:space="preserve">An additional 30% to the base pay rate will be paid to cover the </w:t>
      </w:r>
      <w:r>
        <w:t>cost of living</w:t>
      </w:r>
      <w:r>
        <w:t xml:space="preserve"> in Boulder County. </w:t>
      </w:r>
    </w:p>
    <w:p w:rsidR="00A83AB5" w:rsidP="00A83AB5" w:rsidRDefault="00A83AB5" w14:paraId="156D19F3" w14:textId="77777777">
      <w:pPr>
        <w:pStyle w:val="ListParagraph"/>
        <w:ind w:left="1440"/>
      </w:pPr>
    </w:p>
    <w:p w:rsidR="00A83AB5" w:rsidP="00A83AB5" w:rsidRDefault="00A83AB5" w14:paraId="15893B00" w14:textId="77777777">
      <w:pPr>
        <w:pStyle w:val="ListParagraph"/>
        <w:numPr>
          <w:ilvl w:val="0"/>
          <w:numId w:val="2"/>
        </w:numPr>
      </w:pPr>
      <w:r>
        <w:t xml:space="preserve">Examples (based on 2026 rates):  </w:t>
      </w:r>
    </w:p>
    <w:p w:rsidR="00A83AB5" w:rsidP="00A83AB5" w:rsidRDefault="00A83AB5" w14:paraId="4CA9198F" w14:textId="77777777">
      <w:pPr>
        <w:pStyle w:val="ListParagraph"/>
        <w:numPr>
          <w:ilvl w:val="1"/>
          <w:numId w:val="2"/>
        </w:numPr>
      </w:pPr>
      <w:r>
        <w:t>ENGB $27.49 * 30% = $8.25 (total = $35.74)</w:t>
      </w:r>
    </w:p>
    <w:p w:rsidR="00A83AB5" w:rsidP="00A83AB5" w:rsidRDefault="00A83AB5" w14:paraId="0E466363" w14:textId="77777777">
      <w:pPr>
        <w:pStyle w:val="ListParagraph"/>
        <w:numPr>
          <w:ilvl w:val="1"/>
          <w:numId w:val="2"/>
        </w:numPr>
      </w:pPr>
      <w:r>
        <w:t>PIOF $37.37 * 30% = $11.21 (total = $48.58)</w:t>
      </w:r>
    </w:p>
    <w:p w:rsidR="00A83AB5" w:rsidP="00A83AB5" w:rsidRDefault="00A83AB5" w14:paraId="127EEFDB" w14:textId="77777777">
      <w:pPr>
        <w:pStyle w:val="ListParagraph"/>
        <w:ind w:left="2880"/>
      </w:pPr>
    </w:p>
    <w:p w:rsidR="00E20562" w:rsidP="00E20562" w:rsidRDefault="00E20562" w14:paraId="2F15550E" w14:textId="4B287F17">
      <w:pPr>
        <w:pStyle w:val="ListParagraph"/>
        <w:numPr>
          <w:ilvl w:val="0"/>
          <w:numId w:val="1"/>
        </w:numPr>
      </w:pPr>
      <w:r>
        <w:t>Timeframe of deployment pay outs:</w:t>
      </w:r>
      <w:r w:rsidR="0089328A">
        <w:br/>
      </w:r>
    </w:p>
    <w:p w:rsidR="002419B9" w:rsidP="00E20562" w:rsidRDefault="00E20562" w14:paraId="75B19427" w14:textId="12C7612D">
      <w:pPr>
        <w:pStyle w:val="ListParagraph"/>
        <w:numPr>
          <w:ilvl w:val="1"/>
          <w:numId w:val="1"/>
        </w:numPr>
      </w:pPr>
      <w:r>
        <w:t xml:space="preserve">Volunteers/Supplemental Resources </w:t>
      </w:r>
      <w:r w:rsidR="002419B9">
        <w:t>deploying on/with department-issued apparatus</w:t>
      </w:r>
      <w:r w:rsidR="0089328A">
        <w:t>.</w:t>
      </w:r>
      <w:r w:rsidR="0089328A">
        <w:br/>
      </w:r>
    </w:p>
    <w:p w:rsidR="00E20562" w:rsidP="002419B9" w:rsidRDefault="0089328A" w14:paraId="4722D5C0" w14:textId="4638565C">
      <w:pPr>
        <w:pStyle w:val="ListParagraph"/>
        <w:numPr>
          <w:ilvl w:val="2"/>
          <w:numId w:val="1"/>
        </w:numPr>
      </w:pPr>
      <w:r>
        <w:t xml:space="preserve">Standard Time </w:t>
      </w:r>
      <w:r>
        <w:t>(ST) and meals and/or incidentals</w:t>
      </w:r>
      <w:r>
        <w:t xml:space="preserve"> – last working day of the month</w:t>
      </w:r>
      <w:r w:rsidR="002419B9">
        <w:t xml:space="preserve"> following return from deployment</w:t>
      </w:r>
      <w:r>
        <w:t xml:space="preserve"> after all paperwork has been submitted to the District Administrator and uploaded to the State Fire Billing System.</w:t>
      </w:r>
      <w:r w:rsidR="00E20562">
        <w:t xml:space="preserve"> </w:t>
      </w:r>
      <w:r>
        <w:br/>
      </w:r>
    </w:p>
    <w:p w:rsidR="0089328A" w:rsidP="002419B9" w:rsidRDefault="0089328A" w14:paraId="64635502" w14:textId="6BA070B1">
      <w:pPr>
        <w:pStyle w:val="ListParagraph"/>
        <w:numPr>
          <w:ilvl w:val="2"/>
          <w:numId w:val="1"/>
        </w:numPr>
      </w:pPr>
      <w:r>
        <w:t xml:space="preserve">Overtime (OT) – last working day of the month following final approval of the billing document and reimbursement from the State. </w:t>
      </w:r>
      <w:r>
        <w:br/>
      </w:r>
    </w:p>
    <w:p w:rsidR="002419B9" w:rsidP="002419B9" w:rsidRDefault="002419B9" w14:paraId="3BB1430F" w14:textId="3AC47080">
      <w:pPr>
        <w:pStyle w:val="ListParagraph"/>
        <w:numPr>
          <w:ilvl w:val="1"/>
          <w:numId w:val="1"/>
        </w:numPr>
      </w:pPr>
      <w:r>
        <w:t xml:space="preserve">Volunteers/Supplemental Resources deploying </w:t>
      </w:r>
      <w:r>
        <w:t xml:space="preserve">as a single resource using NERV Rental </w:t>
      </w:r>
      <w:r w:rsidR="0089328A">
        <w:t>and/</w:t>
      </w:r>
      <w:r>
        <w:t xml:space="preserve">or </w:t>
      </w:r>
      <w:r w:rsidR="0089328A">
        <w:t xml:space="preserve">air transportation.  </w:t>
      </w:r>
      <w:r>
        <w:t xml:space="preserve">  </w:t>
      </w:r>
      <w:r w:rsidR="0089328A">
        <w:br/>
      </w:r>
    </w:p>
    <w:p w:rsidR="0089328A" w:rsidP="0089328A" w:rsidRDefault="0089328A" w14:paraId="652E2B4B" w14:textId="56B20B18">
      <w:pPr>
        <w:pStyle w:val="ListParagraph"/>
        <w:numPr>
          <w:ilvl w:val="2"/>
          <w:numId w:val="1"/>
        </w:numPr>
      </w:pPr>
      <w:r>
        <w:t>Meals</w:t>
      </w:r>
      <w:r>
        <w:t xml:space="preserve"> and/or incidentals </w:t>
      </w:r>
      <w:r>
        <w:t>–</w:t>
      </w:r>
      <w:r>
        <w:t xml:space="preserve"> </w:t>
      </w:r>
      <w:r>
        <w:t>last working day of the month</w:t>
      </w:r>
      <w:r>
        <w:t xml:space="preserve"> following return from deployment after all paperwork has been submitted to the District Administrator and uploaded to the State Fire Billing System</w:t>
      </w:r>
      <w:r>
        <w:t>.</w:t>
      </w:r>
      <w:r>
        <w:t xml:space="preserve"> </w:t>
      </w:r>
      <w:r>
        <w:br/>
      </w:r>
    </w:p>
    <w:p w:rsidR="00A83AB5" w:rsidP="00A83AB5" w:rsidRDefault="0089328A" w14:paraId="58BE78D5" w14:textId="5A5147A9">
      <w:pPr>
        <w:pStyle w:val="ListParagraph"/>
        <w:numPr>
          <w:ilvl w:val="2"/>
          <w:numId w:val="1"/>
        </w:numPr>
      </w:pPr>
      <w:r>
        <w:t xml:space="preserve">Standard Time (ST) and </w:t>
      </w:r>
      <w:r>
        <w:t xml:space="preserve">Overtime (OT) – </w:t>
      </w:r>
      <w:r>
        <w:t>last working day of the month</w:t>
      </w:r>
      <w:r>
        <w:t xml:space="preserve"> following final approval of the billing document and reimbursement from the State. </w:t>
      </w:r>
    </w:p>
    <w:sectPr w:rsidR="00A83AB5" w:rsidSect="0049766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D41"/>
    <w:multiLevelType w:val="hybridMultilevel"/>
    <w:tmpl w:val="88685D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B73F7E"/>
    <w:multiLevelType w:val="hybridMultilevel"/>
    <w:tmpl w:val="3192309C"/>
    <w:lvl w:ilvl="0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 w16cid:durableId="1839533930">
    <w:abstractNumId w:val="0"/>
  </w:num>
  <w:num w:numId="2" w16cid:durableId="1516339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EE"/>
    <w:rsid w:val="00096E16"/>
    <w:rsid w:val="0016304A"/>
    <w:rsid w:val="002064EE"/>
    <w:rsid w:val="002419B9"/>
    <w:rsid w:val="002950BC"/>
    <w:rsid w:val="00497668"/>
    <w:rsid w:val="0089328A"/>
    <w:rsid w:val="00913CEC"/>
    <w:rsid w:val="00934704"/>
    <w:rsid w:val="00A83AB5"/>
    <w:rsid w:val="00DE5233"/>
    <w:rsid w:val="00E20562"/>
    <w:rsid w:val="00EB3036"/>
    <w:rsid w:val="00FA126E"/>
    <w:rsid w:val="01585492"/>
    <w:rsid w:val="06EBAF6F"/>
    <w:rsid w:val="09C1B33A"/>
    <w:rsid w:val="266DA114"/>
    <w:rsid w:val="277A5480"/>
    <w:rsid w:val="27F60B6E"/>
    <w:rsid w:val="28F4855B"/>
    <w:rsid w:val="2B9C1D93"/>
    <w:rsid w:val="36697A05"/>
    <w:rsid w:val="39F9E457"/>
    <w:rsid w:val="3A72ACD9"/>
    <w:rsid w:val="3BD9D552"/>
    <w:rsid w:val="3F55C719"/>
    <w:rsid w:val="4723E087"/>
    <w:rsid w:val="48CE08AA"/>
    <w:rsid w:val="4A004159"/>
    <w:rsid w:val="4A29882D"/>
    <w:rsid w:val="5266B24F"/>
    <w:rsid w:val="68BFBE3B"/>
    <w:rsid w:val="70CBFC1F"/>
    <w:rsid w:val="78C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C237"/>
  <w15:chartTrackingRefBased/>
  <w15:docId w15:val="{163E60A0-3625-2843-8702-E5774727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4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20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b42ca36-c917-426e-b10f-a601cd052900" xsi:nil="true"/>
    <lcf76f155ced4ddcb4097134ff3c332f xmlns="0b42ca36-c917-426e-b10f-a601cd052900">
      <Terms xmlns="http://schemas.microsoft.com/office/infopath/2007/PartnerControls"/>
    </lcf76f155ced4ddcb4097134ff3c332f>
    <TaxCatchAll xmlns="66d75f40-7d24-403a-a859-e7f12c41f900" xsi:nil="true"/>
    <SharedWithUsers xmlns="66d75f40-7d24-403a-a859-e7f12c41f90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BABA26B305243A60A31FCA787FEA4" ma:contentTypeVersion="14" ma:contentTypeDescription="Create a new document." ma:contentTypeScope="" ma:versionID="be4576622edca4b268c40971351e66fa">
  <xsd:schema xmlns:xsd="http://www.w3.org/2001/XMLSchema" xmlns:xs="http://www.w3.org/2001/XMLSchema" xmlns:p="http://schemas.microsoft.com/office/2006/metadata/properties" xmlns:ns2="0b42ca36-c917-426e-b10f-a601cd052900" xmlns:ns3="66d75f40-7d24-403a-a859-e7f12c41f900" targetNamespace="http://schemas.microsoft.com/office/2006/metadata/properties" ma:root="true" ma:fieldsID="d86d84bd6bc522b8489a801ce02ec4ef" ns2:_="" ns3:_="">
    <xsd:import namespace="0b42ca36-c917-426e-b10f-a601cd052900"/>
    <xsd:import namespace="66d75f40-7d24-403a-a859-e7f12c41f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ca36-c917-426e-b10f-a601cd052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c163435-b481-4f32-b3c0-29a0a1242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75f40-7d24-403a-a859-e7f12c41f9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2242ec2-981d-471e-806a-d1c1a5aa8884}" ma:internalName="TaxCatchAll" ma:showField="CatchAllData" ma:web="66d75f40-7d24-403a-a859-e7f12c41f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1D574-D767-4270-89C8-3CAA561D155D}">
  <ds:schemaRefs>
    <ds:schemaRef ds:uri="http://schemas.microsoft.com/office/2006/metadata/properties"/>
    <ds:schemaRef ds:uri="http://schemas.microsoft.com/office/infopath/2007/PartnerControls"/>
    <ds:schemaRef ds:uri="0b42ca36-c917-426e-b10f-a601cd052900"/>
    <ds:schemaRef ds:uri="66d75f40-7d24-403a-a859-e7f12c41f900"/>
  </ds:schemaRefs>
</ds:datastoreItem>
</file>

<file path=customXml/itemProps2.xml><?xml version="1.0" encoding="utf-8"?>
<ds:datastoreItem xmlns:ds="http://schemas.openxmlformats.org/officeDocument/2006/customXml" ds:itemID="{D6DB739C-7D45-47CE-A50D-96F00A676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DF83A-827B-416E-9BB6-4D92438976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Iain Irwin-Powell</dc:creator>
  <keywords/>
  <dc:description/>
  <lastModifiedBy>Sherry Snyder</lastModifiedBy>
  <revision>3</revision>
  <lastPrinted>2020-01-12T16:41:00.0000000Z</lastPrinted>
  <dcterms:created xsi:type="dcterms:W3CDTF">2026-01-21T18:49:00.0000000Z</dcterms:created>
  <dcterms:modified xsi:type="dcterms:W3CDTF">2026-01-21T21:05:27.6959028Z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0x010100AA5BABA26B305243A60A31FCA787FEA4</vt:lpwstr>
  </property>
  <property fmtid="{D5CDD505-2E9C-101B-9397-08002B2CF9AE}" pid="3" name="Order">
    <vt:r8>45400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